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99" w:rsidRDefault="007548B8">
      <w:pPr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6B00E18" wp14:editId="0B198D82">
            <wp:simplePos x="0" y="0"/>
            <wp:positionH relativeFrom="margin">
              <wp:posOffset>5062220</wp:posOffset>
            </wp:positionH>
            <wp:positionV relativeFrom="paragraph">
              <wp:posOffset>13018</wp:posOffset>
            </wp:positionV>
            <wp:extent cx="1769284" cy="552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28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8B8">
        <w:rPr>
          <w:rFonts w:ascii="Century Gothic" w:hAnsi="Century Gothic"/>
          <w:b/>
          <w:sz w:val="36"/>
          <w:szCs w:val="36"/>
          <w:lang w:val="en-GB"/>
        </w:rPr>
        <w:t>LGB Essentials</w:t>
      </w:r>
      <w:r w:rsidRPr="007548B8">
        <w:rPr>
          <w:rFonts w:ascii="Century Gothic" w:hAnsi="Century Gothic"/>
          <w:lang w:val="en-GB"/>
        </w:rPr>
        <w:br/>
      </w:r>
      <w:r w:rsidRPr="007548B8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The Role of the </w:t>
      </w:r>
      <w:r w:rsidR="00437CFB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>SEND</w:t>
      </w:r>
      <w:r w:rsidR="007F1DD0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 Governor </w:t>
      </w:r>
      <w:r w:rsidR="00AD335C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 </w:t>
      </w:r>
      <w:r w:rsidR="00AD335C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7548B8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Role Overview </w:t>
            </w:r>
          </w:p>
        </w:tc>
      </w:tr>
      <w:tr w:rsidR="007548B8" w:rsidRPr="005C5F2A" w:rsidTr="007548B8">
        <w:tc>
          <w:tcPr>
            <w:tcW w:w="10790" w:type="dxa"/>
          </w:tcPr>
          <w:p w:rsidR="007548B8" w:rsidRPr="005C5F2A" w:rsidRDefault="005D7D5B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Whilst ensuring the </w:t>
            </w:r>
            <w:r w:rsidR="007F1DD0">
              <w:rPr>
                <w:rFonts w:ascii="Century Gothic" w:hAnsi="Century Gothic"/>
                <w:sz w:val="20"/>
                <w:szCs w:val="20"/>
                <w:lang w:val="en-GB"/>
              </w:rPr>
              <w:t xml:space="preserve">quality of education and provision 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>fo</w:t>
            </w:r>
            <w:r w:rsidR="00781EDC">
              <w:rPr>
                <w:rFonts w:ascii="Century Gothic" w:hAnsi="Century Gothic"/>
                <w:sz w:val="20"/>
                <w:szCs w:val="20"/>
                <w:lang w:val="en-GB"/>
              </w:rPr>
              <w:t>r all children, in</w:t>
            </w:r>
            <w:r w:rsidR="00964F8C">
              <w:rPr>
                <w:rFonts w:ascii="Century Gothic" w:hAnsi="Century Gothic"/>
                <w:sz w:val="20"/>
                <w:szCs w:val="20"/>
                <w:lang w:val="en-GB"/>
              </w:rPr>
              <w:t>cluding those with SEND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is a corporate responsibility across all adults in our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Trus</w:t>
            </w:r>
            <w:r w:rsidR="007F1DD0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781ED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964F8C"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however </w:t>
            </w:r>
            <w:r w:rsidR="00781EDC">
              <w:rPr>
                <w:rFonts w:ascii="Century Gothic" w:hAnsi="Century Gothic"/>
                <w:sz w:val="20"/>
                <w:szCs w:val="20"/>
                <w:lang w:val="en-GB"/>
              </w:rPr>
              <w:t>as nom</w:t>
            </w:r>
            <w:r w:rsidR="00964F8C">
              <w:rPr>
                <w:rFonts w:ascii="Century Gothic" w:hAnsi="Century Gothic"/>
                <w:sz w:val="20"/>
                <w:szCs w:val="20"/>
                <w:lang w:val="en-GB"/>
              </w:rPr>
              <w:t>inated governor for SEND</w:t>
            </w:r>
            <w:r w:rsidR="00B3577F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5C5F2A" w:rsidRPr="005C5F2A">
              <w:rPr>
                <w:rFonts w:ascii="Century Gothic" w:hAnsi="Century Gothic"/>
                <w:sz w:val="20"/>
                <w:szCs w:val="20"/>
                <w:lang w:val="en-GB"/>
              </w:rPr>
              <w:t>you pay particular interest in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this aspect of school life</w:t>
            </w:r>
            <w:r w:rsidR="005C5F2A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– and statutory</w:t>
            </w:r>
            <w:r w:rsidR="00781ED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5C5F2A" w:rsidRPr="005C5F2A">
              <w:rPr>
                <w:rFonts w:ascii="Century Gothic" w:hAnsi="Century Gothic"/>
                <w:sz w:val="20"/>
                <w:szCs w:val="20"/>
                <w:lang w:val="en-GB"/>
              </w:rPr>
              <w:t>governance duty</w:t>
            </w:r>
            <w:r w:rsidR="007F1DD0">
              <w:rPr>
                <w:rFonts w:ascii="Century Gothic" w:hAnsi="Century Gothic"/>
                <w:sz w:val="20"/>
                <w:szCs w:val="20"/>
                <w:lang w:val="en-GB"/>
              </w:rPr>
              <w:t xml:space="preserve">. </w:t>
            </w:r>
          </w:p>
          <w:p w:rsidR="0009446F" w:rsidRPr="005C5F2A" w:rsidRDefault="0009446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09446F" w:rsidRPr="005C5F2A" w:rsidRDefault="0009446F" w:rsidP="00B3577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You will be </w:t>
            </w:r>
            <w:r w:rsidR="005D7D5B">
              <w:rPr>
                <w:rFonts w:ascii="Century Gothic" w:hAnsi="Century Gothic"/>
                <w:sz w:val="20"/>
                <w:szCs w:val="20"/>
                <w:lang w:val="en-GB"/>
              </w:rPr>
              <w:t xml:space="preserve">have time in school </w:t>
            </w:r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to carry out your role with confidence and </w:t>
            </w:r>
            <w:proofErr w:type="gramStart"/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>be expected</w:t>
            </w:r>
            <w:proofErr w:type="gramEnd"/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to have </w:t>
            </w:r>
            <w:r w:rsidR="00B3577F">
              <w:rPr>
                <w:rFonts w:ascii="Century Gothic" w:hAnsi="Century Gothic"/>
                <w:sz w:val="20"/>
                <w:szCs w:val="20"/>
                <w:lang w:val="en-GB"/>
              </w:rPr>
              <w:t xml:space="preserve">access to </w:t>
            </w:r>
            <w:r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additional information in order to elevate your knowledge and experience above the rest of the LGB members. </w:t>
            </w:r>
          </w:p>
        </w:tc>
      </w:tr>
    </w:tbl>
    <w:p w:rsidR="007548B8" w:rsidRPr="005C5F2A" w:rsidRDefault="007548B8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E66CF7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 w:rsidP="00E66CF7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Role Responsibilities and Activities  </w:t>
            </w:r>
          </w:p>
        </w:tc>
      </w:tr>
      <w:tr w:rsidR="007548B8" w:rsidRPr="005C5F2A" w:rsidTr="00E66CF7">
        <w:tc>
          <w:tcPr>
            <w:tcW w:w="10790" w:type="dxa"/>
          </w:tcPr>
          <w:p w:rsidR="00964F8C" w:rsidRPr="00964F8C" w:rsidRDefault="000F5A0C" w:rsidP="00964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Support leaders to e</w:t>
            </w:r>
            <w:r w:rsidR="00964F8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nsure that the school is compliant against the requirements of the </w:t>
            </w:r>
            <w:r w:rsidR="00964F8C" w:rsidRPr="00964F8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Children and Families Act 2014</w:t>
            </w:r>
            <w:r w:rsidR="00964F8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964F8C" w:rsidRPr="00B3577F">
              <w:rPr>
                <w:rFonts w:ascii="Century Gothic" w:hAnsi="Century Gothic"/>
                <w:sz w:val="20"/>
                <w:szCs w:val="20"/>
                <w:lang w:val="en-GB"/>
              </w:rPr>
              <w:t>(this will be covered by meeting the demands below)</w:t>
            </w:r>
            <w:r w:rsidR="00964F8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</w:p>
          <w:p w:rsidR="006656D0" w:rsidRPr="00964F8C" w:rsidRDefault="00964F8C" w:rsidP="00964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Ensure a </w:t>
            </w:r>
            <w:r w:rsidR="00E74259" w:rsidRPr="00964F8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Qualified SENCO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is in place in the school. </w:t>
            </w:r>
            <w:r w:rsidR="002C797C">
              <w:rPr>
                <w:rFonts w:ascii="Century Gothic" w:hAnsi="Century Gothic"/>
                <w:sz w:val="20"/>
                <w:szCs w:val="20"/>
                <w:lang w:val="en-GB"/>
              </w:rPr>
              <w:t xml:space="preserve">Who is the school </w:t>
            </w:r>
            <w:proofErr w:type="spellStart"/>
            <w:r w:rsidR="002C797C">
              <w:rPr>
                <w:rFonts w:ascii="Century Gothic" w:hAnsi="Century Gothic"/>
                <w:sz w:val="20"/>
                <w:szCs w:val="20"/>
                <w:lang w:val="en-GB"/>
              </w:rPr>
              <w:t>SENCo</w:t>
            </w:r>
            <w:proofErr w:type="spellEnd"/>
            <w:r w:rsidR="002C797C">
              <w:rPr>
                <w:rFonts w:ascii="Century Gothic" w:hAnsi="Century Gothic"/>
                <w:sz w:val="20"/>
                <w:szCs w:val="20"/>
                <w:lang w:val="en-GB"/>
              </w:rPr>
              <w:t>? Are they qualified or t</w:t>
            </w:r>
            <w:r w:rsidR="000F5A0C">
              <w:rPr>
                <w:rFonts w:ascii="Century Gothic" w:hAnsi="Century Gothic"/>
                <w:sz w:val="20"/>
                <w:szCs w:val="20"/>
                <w:lang w:val="en-GB"/>
              </w:rPr>
              <w:t xml:space="preserve">raining? How are they supported by the Trust? </w:t>
            </w:r>
          </w:p>
          <w:p w:rsidR="006656D0" w:rsidRPr="00964F8C" w:rsidRDefault="00964F8C" w:rsidP="00964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Ensure that a SEND Information Report is published online for parents </w:t>
            </w:r>
            <w:r w:rsidRPr="00964F8C">
              <w:rPr>
                <w:rFonts w:ascii="Century Gothic" w:hAnsi="Century Gothic"/>
                <w:sz w:val="20"/>
                <w:szCs w:val="20"/>
                <w:lang w:val="en-GB"/>
              </w:rPr>
              <w:t>(</w:t>
            </w:r>
            <w:r w:rsidR="00E74259" w:rsidRPr="00964F8C">
              <w:rPr>
                <w:rFonts w:ascii="Century Gothic" w:hAnsi="Century Gothic"/>
                <w:sz w:val="20"/>
                <w:szCs w:val="20"/>
                <w:lang w:val="en-GB"/>
              </w:rPr>
              <w:t>The information required is set out in the Special Educational Needs and Disability Regulations 2014</w:t>
            </w:r>
            <w:r w:rsidRPr="00964F8C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  <w:r w:rsidR="00E74259" w:rsidRPr="00964F8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:rsidR="006656D0" w:rsidRPr="00964F8C" w:rsidRDefault="00964F8C" w:rsidP="00964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F5A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Ensure that the school follows a ‘</w:t>
            </w:r>
            <w:r w:rsidR="00E74259" w:rsidRPr="000F5A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Plan, Do, Review</w:t>
            </w:r>
            <w:r w:rsidRPr="000F5A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’</w:t>
            </w:r>
            <w:r w:rsidR="000F5A0C" w:rsidRPr="000F5A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Approach</w:t>
            </w:r>
            <w:r w:rsidR="000F5A0C">
              <w:rPr>
                <w:rFonts w:ascii="Century Gothic" w:hAnsi="Century Gothic"/>
                <w:sz w:val="20"/>
                <w:szCs w:val="20"/>
                <w:lang w:val="en-GB"/>
              </w:rPr>
              <w:t xml:space="preserve">. How do leaders ensure that the </w:t>
            </w:r>
            <w:r w:rsidR="00EB4BCA">
              <w:rPr>
                <w:rFonts w:ascii="Century Gothic" w:hAnsi="Century Gothic"/>
                <w:sz w:val="20"/>
                <w:szCs w:val="20"/>
                <w:lang w:val="en-GB"/>
              </w:rPr>
              <w:t>‘</w:t>
            </w:r>
            <w:r w:rsidR="000F5A0C">
              <w:rPr>
                <w:rFonts w:ascii="Century Gothic" w:hAnsi="Century Gothic"/>
                <w:sz w:val="20"/>
                <w:szCs w:val="20"/>
                <w:lang w:val="en-GB"/>
              </w:rPr>
              <w:t>PDR</w:t>
            </w:r>
            <w:r w:rsidR="00EB4BCA">
              <w:rPr>
                <w:rFonts w:ascii="Century Gothic" w:hAnsi="Century Gothic"/>
                <w:sz w:val="20"/>
                <w:szCs w:val="20"/>
                <w:lang w:val="en-GB"/>
              </w:rPr>
              <w:t>’</w:t>
            </w:r>
            <w:r w:rsidR="000F5A0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approach is central to provision? </w:t>
            </w:r>
          </w:p>
          <w:p w:rsidR="006656D0" w:rsidRPr="00964F8C" w:rsidRDefault="00964F8C" w:rsidP="00964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Know the SEND register overview – including the categories and incidences of needs</w:t>
            </w:r>
            <w:r w:rsidR="000F5A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. </w:t>
            </w:r>
            <w:r w:rsidR="000F5A0C">
              <w:rPr>
                <w:rFonts w:ascii="Century Gothic" w:hAnsi="Century Gothic"/>
                <w:sz w:val="20"/>
                <w:szCs w:val="20"/>
                <w:lang w:val="en-GB"/>
              </w:rPr>
              <w:t>You do not need individual names or details, but do require a general overview of current needs and categories (like what is included on the IDSR)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</w:p>
          <w:p w:rsidR="006656D0" w:rsidRPr="002C797C" w:rsidRDefault="002C797C" w:rsidP="00964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Ensure that t</w:t>
            </w:r>
            <w:r w:rsidR="00E74259" w:rsidRPr="00964F8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he voice of the child and family 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is</w:t>
            </w:r>
            <w:r w:rsidR="000F5A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central to provision in school. </w:t>
            </w:r>
            <w:r w:rsidR="000F5A0C" w:rsidRPr="000F5A0C"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are </w:t>
            </w:r>
            <w:r w:rsidR="000F5A0C">
              <w:rPr>
                <w:rFonts w:ascii="Century Gothic" w:hAnsi="Century Gothic"/>
                <w:sz w:val="20"/>
                <w:szCs w:val="20"/>
                <w:lang w:val="en-GB"/>
              </w:rPr>
              <w:t xml:space="preserve">credible </w:t>
            </w:r>
            <w:r w:rsidR="000F5A0C" w:rsidRPr="000F5A0C">
              <w:rPr>
                <w:rFonts w:ascii="Century Gothic" w:hAnsi="Century Gothic"/>
                <w:sz w:val="20"/>
                <w:szCs w:val="20"/>
                <w:lang w:val="en-GB"/>
              </w:rPr>
              <w:t xml:space="preserve">pupil and parent voice captured and used in developing support plans and EHCPs? </w:t>
            </w:r>
            <w:r w:rsidR="000F5A0C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Review a selection to see this in practice. </w:t>
            </w:r>
          </w:p>
          <w:p w:rsidR="002C797C" w:rsidRPr="00E60110" w:rsidRDefault="002C797C" w:rsidP="00964F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Ensure that the SEND Policy reflec</w:t>
            </w:r>
            <w:r w:rsidR="000F5A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ts the school and its practices. </w:t>
            </w:r>
            <w:r w:rsidR="000F5A0C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Review the policy – does it ‘feel’ like the school that you see? </w:t>
            </w:r>
          </w:p>
          <w:p w:rsidR="00E60110" w:rsidRPr="002C797C" w:rsidRDefault="00E60110" w:rsidP="00E60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Ensure that the school website reflects the school and its practices and the requirements as set out at: </w:t>
            </w:r>
            <w:hyperlink r:id="rId6" w:anchor="special-educational-needs-and-disabilities-send" w:history="1">
              <w:r w:rsidRPr="00E60110">
                <w:rPr>
                  <w:rStyle w:val="Hyperlink"/>
                  <w:rFonts w:ascii="Century Gothic" w:hAnsi="Century Gothic"/>
                  <w:sz w:val="20"/>
                  <w:szCs w:val="20"/>
                  <w:lang w:val="en-GB"/>
                </w:rPr>
                <w:t>https://www.gov.uk/guidance/what-academies-free-schools-and-colleges-should-publish-online#special-educational-needs-and-disabilities-send</w:t>
              </w:r>
            </w:hyperlink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</w:p>
          <w:p w:rsidR="00FA0C58" w:rsidRPr="008D0A7D" w:rsidRDefault="002C797C" w:rsidP="002C79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Be a champion for the children identified </w:t>
            </w:r>
            <w:r w:rsidR="00E60110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with SEND across the school. </w:t>
            </w:r>
            <w:r w:rsid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When looking at issues as an LGB, always consider, ‘How does this impact on children with SEND?’ </w:t>
            </w:r>
          </w:p>
          <w:p w:rsidR="008D0A7D" w:rsidRPr="00EB4BCA" w:rsidRDefault="008D0A7D" w:rsidP="00E60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 xml:space="preserve">Know the top level details in relation to SEND children included in the school’s Inspection Data Summary Report (IDSR). </w:t>
            </w:r>
            <w:r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Are there any significant strengths or weaknesses identified for this group of children identified in the IDSR? What is the context around this? What does the SEND </w:t>
            </w:r>
          </w:p>
          <w:p w:rsidR="00EB4BCA" w:rsidRPr="00EB4BCA" w:rsidRDefault="00EB4BCA" w:rsidP="00E60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>Talk to children on the SEND Register!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What do they think of school, their learning and ‘offer’? </w:t>
            </w:r>
          </w:p>
          <w:p w:rsidR="00EB4BCA" w:rsidRPr="00E60110" w:rsidRDefault="00EB4BCA" w:rsidP="00E60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When attending school to discuss SEND, compile a brief report in relation to your work and findings, to share at the next LGB meeting.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Pr="0075492B">
              <w:rPr>
                <w:rFonts w:ascii="Century Gothic" w:hAnsi="Century Gothic"/>
                <w:sz w:val="20"/>
                <w:szCs w:val="20"/>
                <w:lang w:val="en-GB"/>
              </w:rPr>
              <w:t>Please forward to the clerk and Headteacher prior to the meeting.</w:t>
            </w:r>
          </w:p>
        </w:tc>
      </w:tr>
    </w:tbl>
    <w:p w:rsidR="005C5F2A" w:rsidRPr="005C5F2A" w:rsidRDefault="005C5F2A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E66CF7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 w:rsidP="00B56977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Key Assurance Questions</w:t>
            </w:r>
            <w:r w:rsidR="00B56977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to ask school leaders</w:t>
            </w:r>
          </w:p>
        </w:tc>
      </w:tr>
      <w:tr w:rsidR="007548B8" w:rsidRPr="005C5F2A" w:rsidTr="00E66CF7">
        <w:tc>
          <w:tcPr>
            <w:tcW w:w="10790" w:type="dxa"/>
          </w:tcPr>
          <w:p w:rsidR="006765F0" w:rsidRDefault="000F5A0C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Are there any significance statements included in the schools ‘Inspection Data Summary Report (IDSR) in relation to </w:t>
            </w:r>
            <w:r w:rsidR="00E60110">
              <w:rPr>
                <w:rFonts w:ascii="Century Gothic" w:hAnsi="Century Gothic"/>
                <w:sz w:val="20"/>
                <w:szCs w:val="20"/>
                <w:lang w:val="en-GB"/>
              </w:rPr>
              <w:t>SEND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pupil progress, attainment or attendance? </w:t>
            </w:r>
            <w:r w:rsidR="00EB4BCA">
              <w:rPr>
                <w:rFonts w:ascii="Century Gothic" w:hAnsi="Century Gothic"/>
                <w:sz w:val="20"/>
                <w:szCs w:val="20"/>
                <w:lang w:val="en-GB"/>
              </w:rPr>
              <w:t xml:space="preserve">What are you doing about any weaknesses? </w:t>
            </w:r>
          </w:p>
          <w:p w:rsidR="00E60110" w:rsidRDefault="00E60110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</w:t>
            </w:r>
            <w:proofErr w:type="gram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is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SENCo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supported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by the Trust? How do they receive ongoing training, following on from initial qualification? </w:t>
            </w:r>
          </w:p>
          <w:p w:rsidR="006656D0" w:rsidRPr="00E60110" w:rsidRDefault="00E60110" w:rsidP="00E60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do you know that all of the relevant requirements are included in the SEND Information Report (as outlined in the SEND Regulations of 2014 </w:t>
            </w:r>
            <w:hyperlink r:id="rId7" w:history="1">
              <w:r w:rsidRPr="00DE7664">
                <w:rPr>
                  <w:rStyle w:val="Hyperlink"/>
                  <w:rFonts w:ascii="Century Gothic" w:hAnsi="Century Gothic"/>
                  <w:sz w:val="20"/>
                  <w:szCs w:val="20"/>
                  <w:lang w:val="en-GB"/>
                </w:rPr>
                <w:t>https://www.legislation.gov.uk/uksi/2014/1530/part/3/crossheading/sen-information-report/made</w:t>
              </w:r>
            </w:hyperlink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? </w:t>
            </w:r>
            <w:r w:rsidR="00E74259" w:rsidRP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:rsidR="006656D0" w:rsidRPr="00E60110" w:rsidRDefault="00E60110" w:rsidP="00E60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When looking at</w:t>
            </w:r>
            <w:r w:rsidR="00E74259" w:rsidRP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the SEND register – do you know the needs of the ‘school’ and what CPD has been afforded to staff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based on these needs</w:t>
            </w:r>
            <w:r w:rsidR="00E74259" w:rsidRP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? </w:t>
            </w:r>
          </w:p>
          <w:p w:rsidR="006656D0" w:rsidRPr="00E60110" w:rsidRDefault="00E74259" w:rsidP="00E60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is pupil voice captured and </w:t>
            </w:r>
            <w:r w:rsidRPr="00E6011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>USED</w:t>
            </w:r>
            <w:r w:rsidRP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in </w:t>
            </w:r>
            <w:r w:rsid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support plans and EHCPs? Can you show me </w:t>
            </w:r>
            <w:r w:rsidRP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examples? </w:t>
            </w:r>
          </w:p>
          <w:p w:rsidR="006656D0" w:rsidRPr="00EB4BCA" w:rsidRDefault="00E74259" w:rsidP="00E60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E60110"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 xml:space="preserve">How well do children with SEND support achieve in the school? </w:t>
            </w:r>
            <w:r w:rsidR="00E60110">
              <w:rPr>
                <w:rFonts w:ascii="Century Gothic" w:hAnsi="Century Gothic"/>
                <w:sz w:val="20"/>
                <w:szCs w:val="20"/>
                <w:lang w:val="en-GB"/>
              </w:rPr>
              <w:t xml:space="preserve">Is achievement beyond academic captured or considered? </w:t>
            </w:r>
          </w:p>
          <w:p w:rsidR="00EB4BCA" w:rsidRPr="00EB4BCA" w:rsidRDefault="00EB4BCA" w:rsidP="00E60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What happens when staff or families have an emerging concern for a child not currently on the SEND register? </w:t>
            </w:r>
          </w:p>
          <w:p w:rsidR="00EB4BCA" w:rsidRPr="00E60110" w:rsidRDefault="00EB4BCA" w:rsidP="00E60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Which agencies or professionals do you liaise with in order to secure best advice for children that you are concerned about? How do you ensure their advice is acted upon? </w:t>
            </w:r>
          </w:p>
          <w:p w:rsidR="00E60110" w:rsidRDefault="00E60110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is the curriculum adapted or </w:t>
            </w:r>
            <w:proofErr w:type="gram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delivered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to ensure that all children, including SEND access the full and broad curriculum. How do you implement the Trust ‘A Curriculum for ALL’ documentation? </w:t>
            </w:r>
          </w:p>
          <w:p w:rsidR="00EB4BCA" w:rsidRDefault="00EB4BCA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What does ‘Plan, Do. Review’ look like in practice here? How often are plans reviewed? How does that happen? </w:t>
            </w:r>
          </w:p>
          <w:p w:rsidR="00EB4BCA" w:rsidRDefault="00EB4BCA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are children with SEND fully included in the wider opportunities in school (clubs, competitions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etc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) – how is this monitored? </w:t>
            </w:r>
          </w:p>
          <w:p w:rsidR="00EB4BCA" w:rsidRDefault="00EB4BCA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How has the policy been created? How is it shared with families?</w:t>
            </w:r>
          </w:p>
          <w:p w:rsidR="00EB4BCA" w:rsidRDefault="00B3577F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Is there any reference to SEN</w:t>
            </w:r>
            <w:bookmarkStart w:id="0" w:name="_GoBack"/>
            <w:bookmarkEnd w:id="0"/>
            <w:r w:rsidR="00EB4BCA">
              <w:rPr>
                <w:rFonts w:ascii="Century Gothic" w:hAnsi="Century Gothic"/>
                <w:sz w:val="20"/>
                <w:szCs w:val="20"/>
                <w:lang w:val="en-GB"/>
              </w:rPr>
              <w:t xml:space="preserve">D in the School Improvement Plan? Does the </w:t>
            </w:r>
            <w:proofErr w:type="spellStart"/>
            <w:r w:rsidR="00EB4BCA">
              <w:rPr>
                <w:rFonts w:ascii="Century Gothic" w:hAnsi="Century Gothic"/>
                <w:sz w:val="20"/>
                <w:szCs w:val="20"/>
                <w:lang w:val="en-GB"/>
              </w:rPr>
              <w:t>SENCo</w:t>
            </w:r>
            <w:proofErr w:type="spellEnd"/>
            <w:r w:rsidR="00EB4BC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have a plan? Where are the priorities derived from? </w:t>
            </w:r>
          </w:p>
          <w:p w:rsidR="00EB4BCA" w:rsidRDefault="00EB4BCA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When talking with children, ask: </w:t>
            </w:r>
          </w:p>
          <w:p w:rsidR="00EB4BCA" w:rsidRDefault="00EB4BCA" w:rsidP="00EB4BC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Do you enjoy school? Why? Why not? </w:t>
            </w:r>
          </w:p>
          <w:p w:rsidR="00EB4BCA" w:rsidRDefault="00EB4BCA" w:rsidP="00EB4BC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Is there anything about school that you would change? </w:t>
            </w:r>
          </w:p>
          <w:p w:rsidR="00EB4BCA" w:rsidRDefault="00EB4BCA" w:rsidP="00EB4BC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Is there anything that you can’t do at school that you would like to? (particularly in relation to children with disabilities – consider clubs</w:t>
            </w:r>
          </w:p>
          <w:p w:rsidR="00EB4BCA" w:rsidRDefault="00E74259" w:rsidP="00EB4BC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Do you access all the clubs that you would like to? </w:t>
            </w:r>
          </w:p>
          <w:p w:rsidR="00E74259" w:rsidRPr="006765F0" w:rsidRDefault="00E74259" w:rsidP="00EB4BCA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are you helped in lessons? What happens if you struggle or find something hard? </w:t>
            </w:r>
          </w:p>
        </w:tc>
      </w:tr>
    </w:tbl>
    <w:p w:rsidR="007548B8" w:rsidRPr="007548B8" w:rsidRDefault="007548B8">
      <w:pPr>
        <w:rPr>
          <w:rFonts w:ascii="Century Gothic" w:hAnsi="Century Gothic"/>
          <w:lang w:val="en-GB"/>
        </w:rPr>
      </w:pPr>
    </w:p>
    <w:sectPr w:rsidR="007548B8" w:rsidRPr="007548B8" w:rsidSect="00754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72C6"/>
    <w:multiLevelType w:val="hybridMultilevel"/>
    <w:tmpl w:val="BA84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993"/>
    <w:multiLevelType w:val="hybridMultilevel"/>
    <w:tmpl w:val="E9B0CBB0"/>
    <w:lvl w:ilvl="0" w:tplc="C9CAD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E6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0A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22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02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0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1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A6C49"/>
    <w:multiLevelType w:val="hybridMultilevel"/>
    <w:tmpl w:val="E93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EB3"/>
    <w:multiLevelType w:val="hybridMultilevel"/>
    <w:tmpl w:val="AD4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07AAE"/>
    <w:multiLevelType w:val="hybridMultilevel"/>
    <w:tmpl w:val="84C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0BB6"/>
    <w:multiLevelType w:val="hybridMultilevel"/>
    <w:tmpl w:val="C8EED802"/>
    <w:lvl w:ilvl="0" w:tplc="7F9AC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A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2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6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C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2F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4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A2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4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24563F"/>
    <w:multiLevelType w:val="hybridMultilevel"/>
    <w:tmpl w:val="037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B8"/>
    <w:rsid w:val="000868DA"/>
    <w:rsid w:val="0009446F"/>
    <w:rsid w:val="000F5A0C"/>
    <w:rsid w:val="0017630A"/>
    <w:rsid w:val="002C797C"/>
    <w:rsid w:val="0043017B"/>
    <w:rsid w:val="00437CFB"/>
    <w:rsid w:val="0049031B"/>
    <w:rsid w:val="00576F6A"/>
    <w:rsid w:val="005C5F2A"/>
    <w:rsid w:val="005D7D5B"/>
    <w:rsid w:val="00616F2A"/>
    <w:rsid w:val="006656D0"/>
    <w:rsid w:val="006765F0"/>
    <w:rsid w:val="007548B8"/>
    <w:rsid w:val="0075492B"/>
    <w:rsid w:val="00781EDC"/>
    <w:rsid w:val="007A5E57"/>
    <w:rsid w:val="007F1DD0"/>
    <w:rsid w:val="00841348"/>
    <w:rsid w:val="008D0A7D"/>
    <w:rsid w:val="008E71A4"/>
    <w:rsid w:val="00964F8C"/>
    <w:rsid w:val="00AB77B3"/>
    <w:rsid w:val="00AD335C"/>
    <w:rsid w:val="00B3577F"/>
    <w:rsid w:val="00B56977"/>
    <w:rsid w:val="00BB37AA"/>
    <w:rsid w:val="00D15167"/>
    <w:rsid w:val="00DE28D6"/>
    <w:rsid w:val="00E60110"/>
    <w:rsid w:val="00E74259"/>
    <w:rsid w:val="00E95D99"/>
    <w:rsid w:val="00EB4BCA"/>
    <w:rsid w:val="00F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87E1"/>
  <w15:chartTrackingRefBased/>
  <w15:docId w15:val="{75516416-8B59-4FFE-A1E2-D7538DB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14/1530/part/3/crossheading/sen-information-report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what-academies-free-schools-and-colleges-should-publish-onlin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Dent</dc:creator>
  <cp:keywords/>
  <dc:description/>
  <cp:lastModifiedBy>Mr M Dent</cp:lastModifiedBy>
  <cp:revision>6</cp:revision>
  <dcterms:created xsi:type="dcterms:W3CDTF">2022-03-03T11:06:00Z</dcterms:created>
  <dcterms:modified xsi:type="dcterms:W3CDTF">2022-03-03T13:15:00Z</dcterms:modified>
</cp:coreProperties>
</file>